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DB32" w14:textId="740AD70A" w:rsidR="00BA2D63" w:rsidRDefault="00336DDB" w:rsidP="00BA2D63">
      <w:pPr>
        <w:spacing w:before="43" w:line="237" w:lineRule="auto"/>
        <w:ind w:left="3092" w:right="2997" w:hanging="15"/>
        <w:jc w:val="center"/>
        <w:rPr>
          <w:b/>
        </w:rPr>
      </w:pPr>
      <w:r>
        <w:rPr>
          <w:b/>
        </w:rPr>
        <w:t xml:space="preserve">UNITED STATES BANKRUPTCY </w:t>
      </w:r>
      <w:r w:rsidR="00BA2D63">
        <w:rPr>
          <w:b/>
        </w:rPr>
        <w:t xml:space="preserve">COURT </w:t>
      </w:r>
      <w:r w:rsidR="00BA2D63" w:rsidRPr="00BA2D63">
        <w:rPr>
          <w:b/>
        </w:rPr>
        <w:t>FOR</w:t>
      </w:r>
    </w:p>
    <w:p w14:paraId="4A367785" w14:textId="511EFA01" w:rsidR="002D5723" w:rsidRDefault="00336DDB" w:rsidP="00BA2D63">
      <w:pPr>
        <w:spacing w:before="43" w:line="237" w:lineRule="auto"/>
        <w:ind w:left="3092" w:right="2997" w:hanging="15"/>
        <w:jc w:val="center"/>
        <w:rPr>
          <w:b/>
        </w:rPr>
      </w:pPr>
      <w:r>
        <w:rPr>
          <w:b/>
        </w:rPr>
        <w:t>THE</w:t>
      </w:r>
      <w:r w:rsidRPr="00BA2D63">
        <w:rPr>
          <w:b/>
        </w:rPr>
        <w:t xml:space="preserve"> </w:t>
      </w:r>
      <w:r>
        <w:rPr>
          <w:b/>
        </w:rPr>
        <w:t>DISTRICT</w:t>
      </w:r>
      <w:r w:rsidRPr="00BA2D63">
        <w:rPr>
          <w:b/>
        </w:rPr>
        <w:t xml:space="preserve"> </w:t>
      </w:r>
      <w:r>
        <w:rPr>
          <w:b/>
        </w:rPr>
        <w:t>OF</w:t>
      </w:r>
      <w:r w:rsidRPr="00BA2D63">
        <w:rPr>
          <w:b/>
        </w:rPr>
        <w:t xml:space="preserve"> </w:t>
      </w:r>
      <w:r w:rsidR="00B901AB" w:rsidRPr="00BA2D63">
        <w:rPr>
          <w:b/>
        </w:rPr>
        <w:t>ARKANSAS</w:t>
      </w:r>
      <w:r w:rsidRPr="00BA2D63">
        <w:rPr>
          <w:b/>
        </w:rPr>
        <w:t xml:space="preserve"> </w:t>
      </w:r>
      <w:r>
        <w:rPr>
          <w:b/>
        </w:rPr>
        <w:t>RE:</w:t>
      </w:r>
    </w:p>
    <w:p w14:paraId="4A367787" w14:textId="77777777" w:rsidR="002D5723" w:rsidRPr="00BA2D63" w:rsidRDefault="002D5723">
      <w:pPr>
        <w:pStyle w:val="BodyText"/>
        <w:spacing w:before="11"/>
        <w:rPr>
          <w:b/>
        </w:rPr>
      </w:pPr>
    </w:p>
    <w:p w14:paraId="4A367788" w14:textId="233F85D0" w:rsidR="002D5723" w:rsidRDefault="00336DDB">
      <w:pPr>
        <w:tabs>
          <w:tab w:val="left" w:pos="2981"/>
        </w:tabs>
        <w:spacing w:before="1"/>
        <w:ind w:left="100"/>
        <w:rPr>
          <w:b/>
          <w:u w:val="single"/>
        </w:rPr>
      </w:pPr>
      <w:r>
        <w:rPr>
          <w:b/>
        </w:rPr>
        <w:t>Debtor</w:t>
      </w:r>
      <w:r w:rsidR="00BA2D63">
        <w:rPr>
          <w:b/>
        </w:rPr>
        <w:t>(s):</w:t>
      </w:r>
      <w:r w:rsidRPr="00BA2D63">
        <w:rPr>
          <w:b/>
          <w:u w:val="single"/>
        </w:rPr>
        <w:tab/>
      </w:r>
      <w:r w:rsidR="00BA2D63">
        <w:rPr>
          <w:b/>
          <w:u w:val="single"/>
        </w:rPr>
        <w:tab/>
      </w:r>
      <w:r w:rsidR="00BA2D63" w:rsidRPr="00BA2D63">
        <w:rPr>
          <w:b/>
          <w:u w:val="single"/>
        </w:rPr>
        <w:tab/>
      </w:r>
      <w:r w:rsidR="00BA2D63">
        <w:rPr>
          <w:b/>
        </w:rPr>
        <w:tab/>
      </w:r>
      <w:r>
        <w:rPr>
          <w:b/>
        </w:rPr>
        <w:t>BK</w:t>
      </w:r>
      <w:r>
        <w:rPr>
          <w:b/>
          <w:spacing w:val="1"/>
        </w:rPr>
        <w:t xml:space="preserve"> </w:t>
      </w:r>
      <w:r>
        <w:rPr>
          <w:b/>
        </w:rPr>
        <w:t>No.:</w:t>
      </w:r>
      <w:r w:rsidR="00BA2D63" w:rsidRPr="00BA2D63">
        <w:rPr>
          <w:b/>
          <w:u w:val="single"/>
        </w:rPr>
        <w:t xml:space="preserve"> </w:t>
      </w:r>
      <w:r w:rsidR="00BA2D63" w:rsidRPr="00BA2D63">
        <w:rPr>
          <w:b/>
          <w:u w:val="single"/>
        </w:rPr>
        <w:tab/>
      </w:r>
      <w:r w:rsidR="00BA2D63">
        <w:rPr>
          <w:b/>
          <w:u w:val="single"/>
        </w:rPr>
        <w:t xml:space="preserve">                              </w:t>
      </w:r>
      <w:r w:rsidR="00BA2D63">
        <w:rPr>
          <w:b/>
          <w:u w:val="single"/>
        </w:rPr>
        <w:tab/>
        <w:t xml:space="preserve"> </w:t>
      </w:r>
      <w:r w:rsidR="00BA2D63">
        <w:rPr>
          <w:b/>
          <w:u w:val="single"/>
        </w:rPr>
        <w:tab/>
      </w:r>
    </w:p>
    <w:p w14:paraId="64B9C441" w14:textId="77777777" w:rsidR="00BA2D63" w:rsidRDefault="00BA2D63">
      <w:pPr>
        <w:tabs>
          <w:tab w:val="left" w:pos="2981"/>
        </w:tabs>
        <w:spacing w:before="1"/>
        <w:ind w:left="100"/>
        <w:rPr>
          <w:b/>
        </w:rPr>
      </w:pPr>
    </w:p>
    <w:p w14:paraId="4A367789" w14:textId="56FD320F" w:rsidR="002D5723" w:rsidRDefault="00336DDB" w:rsidP="00BA2D63">
      <w:pPr>
        <w:spacing w:before="1"/>
        <w:ind w:left="4320" w:firstLine="720"/>
        <w:rPr>
          <w:b/>
        </w:rPr>
      </w:pPr>
      <w:r>
        <w:rPr>
          <w:b/>
        </w:rPr>
        <w:t>Chapter:</w:t>
      </w:r>
      <w:r w:rsidR="00BA2D63" w:rsidRPr="00BA2D63">
        <w:rPr>
          <w:b/>
          <w:u w:val="single"/>
        </w:rPr>
        <w:t xml:space="preserve"> </w:t>
      </w:r>
      <w:r w:rsidR="00BA2D63" w:rsidRPr="00BA2D63">
        <w:rPr>
          <w:b/>
          <w:u w:val="single"/>
        </w:rPr>
        <w:tab/>
      </w:r>
      <w:r w:rsidR="00BA2D63">
        <w:rPr>
          <w:b/>
          <w:u w:val="single"/>
        </w:rPr>
        <w:t xml:space="preserve">           </w:t>
      </w:r>
      <w:r w:rsidR="00BA2D63">
        <w:rPr>
          <w:b/>
          <w:u w:val="single"/>
        </w:rPr>
        <w:tab/>
      </w:r>
      <w:r w:rsidR="00BA2D63">
        <w:rPr>
          <w:b/>
          <w:u w:val="single"/>
        </w:rPr>
        <w:tab/>
        <w:t xml:space="preserve">                </w:t>
      </w:r>
      <w:r w:rsidR="00BA2D63">
        <w:rPr>
          <w:b/>
          <w:u w:val="single"/>
        </w:rPr>
        <w:tab/>
      </w:r>
    </w:p>
    <w:p w14:paraId="4A36778B" w14:textId="72336DEA" w:rsidR="002D5723" w:rsidRDefault="002D5723">
      <w:pPr>
        <w:pStyle w:val="BodyText"/>
        <w:rPr>
          <w:b/>
        </w:rPr>
      </w:pPr>
    </w:p>
    <w:p w14:paraId="3A0CB1C7" w14:textId="77777777" w:rsidR="00BA2D63" w:rsidRDefault="00BA2D63">
      <w:pPr>
        <w:pStyle w:val="BodyText"/>
        <w:rPr>
          <w:b/>
        </w:rPr>
      </w:pPr>
    </w:p>
    <w:p w14:paraId="23B2C1AF" w14:textId="2FBC9F2E" w:rsidR="00B901AB" w:rsidRDefault="00336DDB">
      <w:pPr>
        <w:ind w:left="1259" w:right="1204"/>
        <w:jc w:val="center"/>
        <w:rPr>
          <w:b/>
          <w:u w:val="single"/>
        </w:rPr>
      </w:pPr>
      <w:r>
        <w:rPr>
          <w:b/>
          <w:u w:val="single"/>
        </w:rPr>
        <w:t>MOTION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CONSENT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APPLY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THE </w:t>
      </w:r>
    </w:p>
    <w:p w14:paraId="4A36778C" w14:textId="7D063ABD" w:rsidR="002D5723" w:rsidRDefault="00B901AB">
      <w:pPr>
        <w:ind w:left="1259" w:right="1204"/>
        <w:jc w:val="center"/>
        <w:rPr>
          <w:b/>
        </w:rPr>
      </w:pPr>
      <w:r>
        <w:rPr>
          <w:b/>
          <w:u w:val="single"/>
        </w:rPr>
        <w:t xml:space="preserve">ARKANSAS </w:t>
      </w:r>
      <w:r w:rsidR="00336DDB">
        <w:rPr>
          <w:b/>
          <w:u w:val="single"/>
        </w:rPr>
        <w:t>HOMEOWNER</w:t>
      </w:r>
      <w:r w:rsidR="00336DDB">
        <w:rPr>
          <w:b/>
          <w:spacing w:val="-2"/>
          <w:u w:val="single"/>
        </w:rPr>
        <w:t xml:space="preserve"> </w:t>
      </w:r>
      <w:r w:rsidR="00336DDB">
        <w:rPr>
          <w:b/>
          <w:u w:val="single"/>
        </w:rPr>
        <w:t>ASSISTANCE FUND</w:t>
      </w:r>
    </w:p>
    <w:p w14:paraId="4A36778E" w14:textId="32EB8B66" w:rsidR="002D5723" w:rsidRDefault="002D5723">
      <w:pPr>
        <w:pStyle w:val="BodyText"/>
        <w:spacing w:before="5"/>
        <w:rPr>
          <w:b/>
          <w:sz w:val="19"/>
        </w:rPr>
      </w:pPr>
    </w:p>
    <w:p w14:paraId="4A36778F" w14:textId="3D41E2AB" w:rsidR="002D5723" w:rsidRDefault="00336DDB">
      <w:pPr>
        <w:pStyle w:val="BodyText"/>
        <w:tabs>
          <w:tab w:val="left" w:pos="4852"/>
        </w:tabs>
        <w:spacing w:before="55"/>
        <w:ind w:left="100" w:right="306"/>
        <w:jc w:val="both"/>
      </w:pPr>
      <w:r>
        <w:t>The</w:t>
      </w:r>
      <w:r>
        <w:rPr>
          <w:spacing w:val="-4"/>
        </w:rPr>
        <w:t xml:space="preserve"> </w:t>
      </w:r>
      <w:r>
        <w:t>Debtor</w:t>
      </w:r>
      <w:r w:rsidR="00BA2D63">
        <w:t>(s)</w:t>
      </w:r>
      <w:r>
        <w:t>,</w:t>
      </w:r>
      <w:r w:rsidRPr="00BA2D63">
        <w:rPr>
          <w:u w:val="single"/>
        </w:rPr>
        <w:tab/>
      </w:r>
      <w:r>
        <w:t>, hereby moves this Court to provide consent for</w:t>
      </w:r>
      <w:r>
        <w:rPr>
          <w:spacing w:val="-47"/>
        </w:rPr>
        <w:t xml:space="preserve"> </w:t>
      </w:r>
      <w:r>
        <w:t>him/her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Fund.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Debtor</w:t>
      </w:r>
      <w:r w:rsidR="00BA2D63">
        <w:t>(s)</w:t>
      </w:r>
      <w:r>
        <w:rPr>
          <w:spacing w:val="-5"/>
        </w:rPr>
        <w:t xml:space="preserve"> </w:t>
      </w:r>
      <w:r>
        <w:t>states</w:t>
      </w:r>
      <w:r w:rsidRPr="00B70A47">
        <w:t xml:space="preserve"> </w:t>
      </w:r>
      <w:r>
        <w:t>the</w:t>
      </w:r>
      <w:r w:rsidRPr="00B70A47">
        <w:t xml:space="preserve"> </w:t>
      </w:r>
      <w:r>
        <w:t>following:</w:t>
      </w:r>
    </w:p>
    <w:p w14:paraId="4A367790" w14:textId="77777777" w:rsidR="002D5723" w:rsidRDefault="002D5723">
      <w:pPr>
        <w:pStyle w:val="BodyText"/>
      </w:pPr>
    </w:p>
    <w:p w14:paraId="4A367791" w14:textId="77777777" w:rsidR="002D5723" w:rsidRDefault="002D5723">
      <w:pPr>
        <w:pStyle w:val="BodyText"/>
        <w:spacing w:before="3"/>
      </w:pPr>
    </w:p>
    <w:p w14:paraId="4A367792" w14:textId="21C9B9AA" w:rsidR="002D5723" w:rsidRDefault="00336DDB">
      <w:pPr>
        <w:pStyle w:val="ListParagraph"/>
        <w:numPr>
          <w:ilvl w:val="0"/>
          <w:numId w:val="1"/>
        </w:numPr>
        <w:tabs>
          <w:tab w:val="left" w:pos="821"/>
        </w:tabs>
        <w:ind w:right="103"/>
      </w:pPr>
      <w:r>
        <w:t>The Homeowner Assistance Fund (HAF) was established under section 3206 of the American</w:t>
      </w:r>
      <w:r w:rsidRPr="00B70A47">
        <w:t xml:space="preserve"> </w:t>
      </w:r>
      <w:r>
        <w:t>Rescue Plan Act of 2021. The U.S. Department of the Treasury has allocated fund to the State of</w:t>
      </w:r>
      <w:r w:rsidRPr="00B70A47">
        <w:t xml:space="preserve"> </w:t>
      </w:r>
      <w:r w:rsidR="00B901AB">
        <w:t xml:space="preserve">Arkansas to </w:t>
      </w:r>
      <w:r>
        <w:t>be used to prevent mortgage delinquencies and defaults, foreclosures, and lo</w:t>
      </w:r>
      <w:r w:rsidR="00B901AB">
        <w:t xml:space="preserve">ss of </w:t>
      </w:r>
      <w:r>
        <w:t>utilities</w:t>
      </w:r>
      <w:r w:rsidRPr="00B70A47">
        <w:t xml:space="preserve"> </w:t>
      </w:r>
      <w:r>
        <w:t>or</w:t>
      </w:r>
      <w:r w:rsidRPr="00B70A47">
        <w:t xml:space="preserve"> </w:t>
      </w:r>
      <w:r w:rsidR="00B901AB" w:rsidRPr="00B70A47">
        <w:t xml:space="preserve">internet/broadband </w:t>
      </w:r>
      <w:r>
        <w:t>services.</w:t>
      </w:r>
      <w:r w:rsidRPr="00B70A47">
        <w:t xml:space="preserve"> </w:t>
      </w:r>
      <w:r>
        <w:t>In</w:t>
      </w:r>
      <w:r w:rsidRPr="00B70A47">
        <w:t xml:space="preserve"> </w:t>
      </w:r>
      <w:r w:rsidR="00B901AB" w:rsidRPr="00B70A47">
        <w:t xml:space="preserve">Arkansas, </w:t>
      </w:r>
      <w:r>
        <w:t>the</w:t>
      </w:r>
      <w:r w:rsidRPr="00B70A47">
        <w:t xml:space="preserve"> </w:t>
      </w:r>
      <w:r>
        <w:t>funds</w:t>
      </w:r>
      <w:r w:rsidRPr="00B70A47">
        <w:t xml:space="preserve"> </w:t>
      </w:r>
      <w:r>
        <w:t>will</w:t>
      </w:r>
      <w:r w:rsidRPr="00B70A47">
        <w:t xml:space="preserve"> </w:t>
      </w:r>
      <w:r>
        <w:t>be</w:t>
      </w:r>
      <w:r w:rsidRPr="00B70A47">
        <w:t xml:space="preserve"> </w:t>
      </w:r>
      <w:r>
        <w:t>offered</w:t>
      </w:r>
      <w:r w:rsidRPr="00B70A47">
        <w:t xml:space="preserve"> </w:t>
      </w:r>
      <w:r>
        <w:t>as</w:t>
      </w:r>
      <w:r w:rsidRPr="00B70A47">
        <w:t xml:space="preserve"> </w:t>
      </w:r>
      <w:r>
        <w:t>a</w:t>
      </w:r>
      <w:r w:rsidRPr="00B70A47">
        <w:t xml:space="preserve"> </w:t>
      </w:r>
      <w:r>
        <w:t>grant and</w:t>
      </w:r>
      <w:r w:rsidRPr="00B70A47">
        <w:t xml:space="preserve"> </w:t>
      </w:r>
      <w:r>
        <w:t>can</w:t>
      </w:r>
      <w:r w:rsidRPr="00B70A47">
        <w:t xml:space="preserve"> </w:t>
      </w:r>
      <w:r>
        <w:t xml:space="preserve">be used </w:t>
      </w:r>
      <w:r w:rsidR="00B901AB">
        <w:t>to reinstate eligible qualified expenses such as for mortgage l</w:t>
      </w:r>
      <w:r>
        <w:t>oan</w:t>
      </w:r>
      <w:r w:rsidR="00B901AB">
        <w:t>s, utility and internet/broadband services.</w:t>
      </w:r>
    </w:p>
    <w:p w14:paraId="4A367793" w14:textId="77777777" w:rsidR="002D5723" w:rsidRDefault="002D5723">
      <w:pPr>
        <w:pStyle w:val="BodyText"/>
        <w:spacing w:before="7"/>
        <w:rPr>
          <w:sz w:val="21"/>
        </w:rPr>
      </w:pPr>
    </w:p>
    <w:p w14:paraId="4A367794" w14:textId="4C153194" w:rsidR="002D5723" w:rsidRDefault="00336DD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In</w:t>
      </w:r>
      <w:r>
        <w:rPr>
          <w:spacing w:val="-4"/>
        </w:rPr>
        <w:t xml:space="preserve"> </w:t>
      </w:r>
      <w:r w:rsidR="00B901AB">
        <w:rPr>
          <w:spacing w:val="-4"/>
        </w:rPr>
        <w:t xml:space="preserve">Arkansas, </w:t>
      </w:r>
      <w:r>
        <w:t>The</w:t>
      </w:r>
      <w:r>
        <w:rPr>
          <w:spacing w:val="-3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B901AB">
        <w:rPr>
          <w:spacing w:val="-3"/>
        </w:rPr>
        <w:t xml:space="preserve">Arkansas Development Finance Authority (ADFA). </w:t>
      </w:r>
    </w:p>
    <w:p w14:paraId="4A367795" w14:textId="77777777" w:rsidR="002D5723" w:rsidRDefault="002D5723">
      <w:pPr>
        <w:pStyle w:val="BodyText"/>
        <w:spacing w:before="3"/>
      </w:pPr>
    </w:p>
    <w:p w14:paraId="4A367796" w14:textId="77777777" w:rsidR="002D5723" w:rsidRDefault="00336DD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The</w:t>
      </w:r>
      <w:r>
        <w:rPr>
          <w:spacing w:val="-4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Fund is offered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grant.</w:t>
      </w:r>
    </w:p>
    <w:p w14:paraId="4A367797" w14:textId="77777777" w:rsidR="002D5723" w:rsidRDefault="002D5723">
      <w:pPr>
        <w:pStyle w:val="BodyText"/>
        <w:spacing w:before="10"/>
        <w:rPr>
          <w:sz w:val="21"/>
        </w:rPr>
      </w:pPr>
    </w:p>
    <w:p w14:paraId="4A36779A" w14:textId="16E69055" w:rsidR="002D5723" w:rsidRDefault="00336DDB">
      <w:pPr>
        <w:pStyle w:val="ListParagraph"/>
        <w:numPr>
          <w:ilvl w:val="0"/>
          <w:numId w:val="1"/>
        </w:numPr>
        <w:tabs>
          <w:tab w:val="left" w:pos="821"/>
        </w:tabs>
        <w:ind w:right="327"/>
      </w:pPr>
      <w:r>
        <w:t>Because</w:t>
      </w:r>
      <w:r>
        <w:rPr>
          <w:spacing w:val="-4"/>
        </w:rPr>
        <w:t xml:space="preserve"> </w:t>
      </w:r>
      <w:r>
        <w:t>HAF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obtaining</w:t>
      </w:r>
      <w:r>
        <w:rPr>
          <w:spacing w:val="2"/>
        </w:rPr>
        <w:t xml:space="preserve"> </w:t>
      </w:r>
      <w:r>
        <w:t>HAF funds 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expenses</w:t>
      </w:r>
      <w:r w:rsidRPr="00B70A47">
        <w:t xml:space="preserve"> </w:t>
      </w:r>
      <w:r>
        <w:t>for</w:t>
      </w:r>
      <w:r w:rsidRPr="00B70A47">
        <w:t xml:space="preserve"> </w:t>
      </w:r>
      <w:r>
        <w:t>the</w:t>
      </w:r>
      <w:r w:rsidRPr="00B70A47">
        <w:t xml:space="preserve"> </w:t>
      </w:r>
      <w:r>
        <w:t>Debtor</w:t>
      </w:r>
      <w:r w:rsidR="00BA2D63">
        <w:t>(s)</w:t>
      </w:r>
      <w:r>
        <w:t>.</w:t>
      </w:r>
    </w:p>
    <w:p w14:paraId="4A36779B" w14:textId="77777777" w:rsidR="002D5723" w:rsidRDefault="002D5723">
      <w:pPr>
        <w:pStyle w:val="BodyText"/>
        <w:spacing w:before="11"/>
        <w:rPr>
          <w:sz w:val="21"/>
        </w:rPr>
      </w:pPr>
    </w:p>
    <w:p w14:paraId="4A36779C" w14:textId="3786EAA0" w:rsidR="002D5723" w:rsidRDefault="00B901AB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54"/>
      </w:pPr>
      <w:r>
        <w:t xml:space="preserve">ADFA </w:t>
      </w:r>
      <w:r w:rsidR="00336DDB">
        <w:t>has</w:t>
      </w:r>
      <w:r w:rsidR="00336DDB">
        <w:rPr>
          <w:spacing w:val="-4"/>
        </w:rPr>
        <w:t xml:space="preserve"> </w:t>
      </w:r>
      <w:r w:rsidR="00336DDB">
        <w:t>requested</w:t>
      </w:r>
      <w:r w:rsidR="00336DDB">
        <w:rPr>
          <w:spacing w:val="-2"/>
        </w:rPr>
        <w:t xml:space="preserve"> </w:t>
      </w:r>
      <w:r w:rsidR="00336DDB">
        <w:t>that</w:t>
      </w:r>
      <w:r w:rsidR="00336DDB">
        <w:rPr>
          <w:spacing w:val="-1"/>
        </w:rPr>
        <w:t xml:space="preserve"> </w:t>
      </w:r>
      <w:r w:rsidR="00336DDB">
        <w:t>applicants</w:t>
      </w:r>
      <w:r w:rsidR="00336DDB">
        <w:rPr>
          <w:spacing w:val="-4"/>
        </w:rPr>
        <w:t xml:space="preserve"> </w:t>
      </w:r>
      <w:r w:rsidR="00336DDB">
        <w:t>with</w:t>
      </w:r>
      <w:r w:rsidR="00336DDB">
        <w:rPr>
          <w:spacing w:val="-3"/>
        </w:rPr>
        <w:t xml:space="preserve"> </w:t>
      </w:r>
      <w:r w:rsidR="00336DDB">
        <w:t>active</w:t>
      </w:r>
      <w:r w:rsidR="00336DDB">
        <w:rPr>
          <w:spacing w:val="-2"/>
        </w:rPr>
        <w:t xml:space="preserve"> </w:t>
      </w:r>
      <w:r w:rsidR="00336DDB">
        <w:t>Bankruptcy</w:t>
      </w:r>
      <w:r w:rsidR="00336DDB">
        <w:rPr>
          <w:spacing w:val="-2"/>
        </w:rPr>
        <w:t xml:space="preserve"> </w:t>
      </w:r>
      <w:r w:rsidR="00336DDB">
        <w:t>cases</w:t>
      </w:r>
      <w:r w:rsidR="00336DDB">
        <w:rPr>
          <w:spacing w:val="-2"/>
        </w:rPr>
        <w:t xml:space="preserve"> </w:t>
      </w:r>
      <w:r w:rsidR="00336DDB">
        <w:t>obtain</w:t>
      </w:r>
      <w:r w:rsidR="00336DDB" w:rsidRPr="00B70A47">
        <w:t xml:space="preserve"> </w:t>
      </w:r>
      <w:r w:rsidR="00336DDB">
        <w:t>leave</w:t>
      </w:r>
      <w:r w:rsidR="00336DDB" w:rsidRPr="00B70A47">
        <w:t xml:space="preserve"> </w:t>
      </w:r>
      <w:r w:rsidR="00336DDB">
        <w:t>of</w:t>
      </w:r>
      <w:r w:rsidR="00336DDB" w:rsidRPr="00B70A47">
        <w:t xml:space="preserve"> </w:t>
      </w:r>
      <w:r w:rsidR="00336DDB">
        <w:t>this</w:t>
      </w:r>
      <w:r w:rsidR="00336DDB" w:rsidRPr="00B70A47">
        <w:t xml:space="preserve"> </w:t>
      </w:r>
      <w:r w:rsidR="00336DDB">
        <w:t>Court</w:t>
      </w:r>
      <w:r w:rsidR="00336DDB" w:rsidRPr="00B70A47">
        <w:t xml:space="preserve"> </w:t>
      </w:r>
      <w:r w:rsidR="00336DDB">
        <w:t>before</w:t>
      </w:r>
      <w:r w:rsidR="00336DDB" w:rsidRPr="00B70A47">
        <w:t xml:space="preserve"> </w:t>
      </w:r>
      <w:r w:rsidR="00336DDB">
        <w:t>applying</w:t>
      </w:r>
      <w:r w:rsidR="00336DDB" w:rsidRPr="00B70A47">
        <w:t xml:space="preserve"> </w:t>
      </w:r>
      <w:r w:rsidR="00336DDB">
        <w:t>for</w:t>
      </w:r>
      <w:r w:rsidR="00336DDB" w:rsidRPr="00B70A47">
        <w:t xml:space="preserve"> </w:t>
      </w:r>
      <w:r w:rsidR="00336DDB">
        <w:t>the</w:t>
      </w:r>
      <w:r w:rsidR="00336DDB" w:rsidRPr="00B70A47">
        <w:t xml:space="preserve"> </w:t>
      </w:r>
      <w:r w:rsidR="00336DDB">
        <w:t>HAF</w:t>
      </w:r>
      <w:r w:rsidR="00336DDB" w:rsidRPr="00B70A47">
        <w:t xml:space="preserve"> </w:t>
      </w:r>
      <w:r w:rsidR="00B70A47">
        <w:t>P</w:t>
      </w:r>
      <w:r w:rsidR="00336DDB">
        <w:t>rogram.</w:t>
      </w:r>
    </w:p>
    <w:p w14:paraId="4A36779D" w14:textId="77777777" w:rsidR="002D5723" w:rsidRDefault="002D5723">
      <w:pPr>
        <w:pStyle w:val="BodyText"/>
        <w:spacing w:before="7"/>
        <w:rPr>
          <w:sz w:val="21"/>
        </w:rPr>
      </w:pPr>
    </w:p>
    <w:p w14:paraId="4A36779E" w14:textId="0F60E510" w:rsidR="002D5723" w:rsidRDefault="00336DD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The</w:t>
      </w:r>
      <w:r>
        <w:rPr>
          <w:spacing w:val="-4"/>
        </w:rPr>
        <w:t xml:space="preserve"> </w:t>
      </w:r>
      <w:r>
        <w:t>Debtor</w:t>
      </w:r>
      <w:r w:rsidR="00BA2D63">
        <w:t>(s)</w:t>
      </w:r>
      <w:r>
        <w:rPr>
          <w:spacing w:val="-4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HAF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creditors.</w:t>
      </w:r>
    </w:p>
    <w:p w14:paraId="4A36779F" w14:textId="77777777" w:rsidR="002D5723" w:rsidRDefault="002D5723">
      <w:pPr>
        <w:pStyle w:val="BodyText"/>
        <w:spacing w:before="5"/>
      </w:pPr>
    </w:p>
    <w:p w14:paraId="4A3677A0" w14:textId="12DEC0AE" w:rsidR="002D5723" w:rsidRDefault="00336DDB">
      <w:pPr>
        <w:pStyle w:val="BodyText"/>
        <w:spacing w:line="237" w:lineRule="auto"/>
        <w:ind w:left="460" w:right="791"/>
      </w:pPr>
      <w:r>
        <w:t>Wherefore, the Debtor</w:t>
      </w:r>
      <w:r w:rsidR="00BA2D63">
        <w:t>(s)</w:t>
      </w:r>
      <w:r>
        <w:t xml:space="preserve"> requests that this Court give consent for Debtor</w:t>
      </w:r>
      <w:r w:rsidR="00BA2D63">
        <w:t>(s)</w:t>
      </w:r>
      <w:r>
        <w:t xml:space="preserve"> to apply for the</w:t>
      </w:r>
      <w:r w:rsidR="00BA2D63">
        <w:t xml:space="preserve"> HAF </w:t>
      </w:r>
      <w:r w:rsidR="00B70A47">
        <w:t>P</w:t>
      </w:r>
      <w:r>
        <w:t>rogram.</w:t>
      </w:r>
    </w:p>
    <w:p w14:paraId="1D188F06" w14:textId="289DD4BD" w:rsidR="00BA2D63" w:rsidRDefault="00BA2D63">
      <w:pPr>
        <w:pStyle w:val="BodyText"/>
        <w:spacing w:line="237" w:lineRule="auto"/>
        <w:ind w:left="460" w:right="791"/>
      </w:pPr>
    </w:p>
    <w:p w14:paraId="5181D63A" w14:textId="09D27D45" w:rsidR="00BA2D63" w:rsidRPr="00BA2D63" w:rsidRDefault="00BA2D63" w:rsidP="00B70A47">
      <w:pPr>
        <w:pStyle w:val="BodyText"/>
        <w:spacing w:line="237" w:lineRule="auto"/>
        <w:ind w:left="460" w:right="791"/>
        <w:jc w:val="center"/>
        <w:rPr>
          <w:b/>
          <w:bCs/>
          <w:u w:val="single"/>
        </w:rPr>
      </w:pPr>
      <w:r w:rsidRPr="00BA2D63">
        <w:rPr>
          <w:b/>
          <w:bCs/>
          <w:u w:val="single"/>
        </w:rPr>
        <w:t>SIGNATURES</w:t>
      </w:r>
    </w:p>
    <w:p w14:paraId="15266FA7" w14:textId="5EE89E94" w:rsidR="00BA2D63" w:rsidRPr="00BA2D63" w:rsidRDefault="00BA2D63">
      <w:pPr>
        <w:pStyle w:val="BodyText"/>
        <w:spacing w:line="237" w:lineRule="auto"/>
        <w:ind w:left="460" w:right="791"/>
        <w:rPr>
          <w:b/>
          <w:bCs/>
        </w:rPr>
      </w:pPr>
      <w:r w:rsidRPr="00BA2D63">
        <w:rPr>
          <w:b/>
          <w:bCs/>
        </w:rPr>
        <w:t>Debtor(s)</w:t>
      </w:r>
    </w:p>
    <w:p w14:paraId="758EDC28" w14:textId="4A765DD0" w:rsidR="00BA2D63" w:rsidRDefault="00BA2D63">
      <w:pPr>
        <w:pStyle w:val="BodyText"/>
        <w:spacing w:line="237" w:lineRule="auto"/>
        <w:ind w:left="460" w:right="791"/>
      </w:pPr>
    </w:p>
    <w:p w14:paraId="39F9D1C6" w14:textId="77777777" w:rsidR="00BA2D63" w:rsidRDefault="00BA2D63">
      <w:pPr>
        <w:pStyle w:val="BodyText"/>
        <w:spacing w:line="237" w:lineRule="auto"/>
        <w:ind w:left="460" w:right="791"/>
      </w:pPr>
    </w:p>
    <w:p w14:paraId="2D489563" w14:textId="4BA56D72" w:rsidR="00BA2D63" w:rsidRPr="00BA2D63" w:rsidRDefault="00BA2D63">
      <w:pPr>
        <w:pStyle w:val="BodyText"/>
        <w:spacing w:line="237" w:lineRule="auto"/>
        <w:ind w:left="460" w:right="791"/>
        <w:rPr>
          <w:u w:val="single"/>
        </w:rPr>
      </w:pP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>
        <w:rPr>
          <w:u w:val="single"/>
        </w:rPr>
        <w:tab/>
      </w:r>
      <w:r w:rsidRPr="00BA2D63"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</w:p>
    <w:p w14:paraId="5BF385E2" w14:textId="24649212" w:rsidR="00BA2D63" w:rsidRDefault="00BA2D63">
      <w:pPr>
        <w:pStyle w:val="BodyText"/>
        <w:spacing w:line="237" w:lineRule="auto"/>
        <w:ind w:left="460" w:right="791"/>
      </w:pPr>
      <w:r>
        <w:t xml:space="preserve">Name(s)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Signature(s)</w:t>
      </w:r>
    </w:p>
    <w:p w14:paraId="3B9FBC39" w14:textId="7A049A24" w:rsidR="00BA2D63" w:rsidRDefault="00BA2D63">
      <w:pPr>
        <w:pStyle w:val="BodyText"/>
        <w:spacing w:line="237" w:lineRule="auto"/>
        <w:ind w:left="460" w:right="791"/>
      </w:pPr>
    </w:p>
    <w:p w14:paraId="1D9A4334" w14:textId="4C801B60" w:rsidR="00BA2D63" w:rsidRPr="00BA2D63" w:rsidRDefault="00BA2D63">
      <w:pPr>
        <w:pStyle w:val="BodyText"/>
        <w:spacing w:line="237" w:lineRule="auto"/>
        <w:ind w:left="460" w:right="791"/>
        <w:rPr>
          <w:b/>
          <w:bCs/>
        </w:rPr>
      </w:pPr>
      <w:r w:rsidRPr="00BA2D63">
        <w:rPr>
          <w:b/>
          <w:bCs/>
        </w:rPr>
        <w:t>Court Representative</w:t>
      </w:r>
    </w:p>
    <w:p w14:paraId="69A704D2" w14:textId="3C10DE1C" w:rsidR="00BA2D63" w:rsidRDefault="00B70A47">
      <w:pPr>
        <w:pStyle w:val="BodyText"/>
        <w:spacing w:line="237" w:lineRule="auto"/>
        <w:ind w:left="460" w:right="791"/>
      </w:pPr>
      <w:r>
        <w:t>I certify I am a representative of the United State Bankruptcy Court for the District of Arkansas. I consent on behalf of the Court for the Debtor(s) to apply for the HAF Program to resolve their delinquent mortgage debts.</w:t>
      </w:r>
    </w:p>
    <w:p w14:paraId="2C9343D4" w14:textId="06929500" w:rsidR="00BA2D63" w:rsidRDefault="00BA2D63">
      <w:pPr>
        <w:pStyle w:val="BodyText"/>
        <w:spacing w:line="237" w:lineRule="auto"/>
        <w:ind w:left="460" w:right="791"/>
      </w:pPr>
    </w:p>
    <w:p w14:paraId="406AE6E9" w14:textId="77777777" w:rsidR="00B70A47" w:rsidRDefault="00B70A47">
      <w:pPr>
        <w:pStyle w:val="BodyText"/>
        <w:spacing w:line="237" w:lineRule="auto"/>
        <w:ind w:left="460" w:right="791"/>
      </w:pPr>
    </w:p>
    <w:p w14:paraId="1E0F60CC" w14:textId="41448658" w:rsidR="00BA2D63" w:rsidRPr="00BA2D63" w:rsidRDefault="00BA2D63" w:rsidP="00BA2D63">
      <w:pPr>
        <w:pStyle w:val="BodyText"/>
        <w:spacing w:line="237" w:lineRule="auto"/>
        <w:ind w:left="460" w:right="791"/>
        <w:rPr>
          <w:u w:val="single"/>
        </w:rPr>
      </w:pP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>
        <w:rPr>
          <w:u w:val="single"/>
        </w:rPr>
        <w:tab/>
      </w:r>
      <w:r w:rsidRPr="00BA2D63"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  <w:r w:rsidRPr="00BA2D63">
        <w:rPr>
          <w:u w:val="single"/>
        </w:rPr>
        <w:tab/>
      </w:r>
    </w:p>
    <w:p w14:paraId="6F3D2E17" w14:textId="7CE2B495" w:rsidR="00BA2D63" w:rsidRDefault="00BA2D63" w:rsidP="00BA2D63">
      <w:pPr>
        <w:pStyle w:val="BodyText"/>
        <w:spacing w:line="237" w:lineRule="auto"/>
        <w:ind w:left="460" w:right="791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A2D63" w:rsidSect="00BA2D6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B96"/>
    <w:multiLevelType w:val="hybridMultilevel"/>
    <w:tmpl w:val="5D388DC2"/>
    <w:lvl w:ilvl="0" w:tplc="D584C74E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8524E7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B524B4A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2E2EE5B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F45AE40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FF4D0C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ADA986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75F82BE8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AD7C018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3"/>
    <w:rsid w:val="00007DFA"/>
    <w:rsid w:val="002D5723"/>
    <w:rsid w:val="00336DDB"/>
    <w:rsid w:val="00B70A47"/>
    <w:rsid w:val="00B901AB"/>
    <w:rsid w:val="00BA2D63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7783"/>
  <w15:docId w15:val="{B8DCA877-FDF2-44CA-8690-3778BA7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A2D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jean.mills@hornellp.com</dc:creator>
  <cp:lastModifiedBy>Summer Wilton</cp:lastModifiedBy>
  <cp:revision>2</cp:revision>
  <dcterms:created xsi:type="dcterms:W3CDTF">2022-04-11T17:42:00Z</dcterms:created>
  <dcterms:modified xsi:type="dcterms:W3CDTF">2022-04-11T17:42:00Z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2022-03-02T00:00:00Z</vt:filetime>
  </property>
</Properties>
</file>